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/>
        <w:t>Faculty</w:t>
      </w:r>
      <w:r>
        <w:rPr>
          <w:spacing w:val="-6"/>
        </w:rPr>
        <w:t> </w:t>
      </w:r>
      <w:r>
        <w:rPr/>
        <w:t>Senate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Procedure–</w:t>
      </w:r>
      <w:r>
        <w:rPr>
          <w:spacing w:val="-2"/>
        </w:rPr>
        <w:t>Parliamentarian</w:t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764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Training</w:t>
            </w:r>
          </w:p>
        </w:tc>
      </w:tr>
      <w:tr>
        <w:trPr>
          <w:trHeight w:val="720" w:hRule="atLeast"/>
        </w:trPr>
        <w:tc>
          <w:tcPr>
            <w:tcW w:w="1720" w:type="dxa"/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0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700" w:hRule="atLeast"/>
        </w:trPr>
        <w:tc>
          <w:tcPr>
            <w:tcW w:w="1720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1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719" w:hRule="atLeast"/>
        </w:trPr>
        <w:tc>
          <w:tcPr>
            <w:tcW w:w="17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7640" w:type="dxa"/>
          </w:tcPr>
          <w:p>
            <w:pPr>
              <w:pStyle w:val="TableParagraph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1720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1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719" w:hRule="atLeast"/>
        </w:trPr>
        <w:tc>
          <w:tcPr>
            <w:tcW w:w="17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7640" w:type="dxa"/>
          </w:tcPr>
          <w:p>
            <w:pPr>
              <w:pStyle w:val="TableParagraph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700" w:hRule="atLeast"/>
        </w:trPr>
        <w:tc>
          <w:tcPr>
            <w:tcW w:w="17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3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720" w:hRule="atLeast"/>
        </w:trPr>
        <w:tc>
          <w:tcPr>
            <w:tcW w:w="1720" w:type="dxa"/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4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5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76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7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3"/>
              <w:ind w:left="100" w:right="2685" w:hanging="1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chancellor FS 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76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59" w:hRule="atLeast"/>
        </w:trPr>
        <w:tc>
          <w:tcPr>
            <w:tcW w:w="17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Misc</w:t>
            </w:r>
          </w:p>
        </w:tc>
        <w:tc>
          <w:tcPr>
            <w:tcW w:w="7640" w:type="dxa"/>
          </w:tcPr>
          <w:p>
            <w:pPr>
              <w:pStyle w:val="TableParagraph"/>
              <w:spacing w:line="276" w:lineRule="auto"/>
              <w:ind w:left="99" w:right="154"/>
              <w:rPr>
                <w:sz w:val="22"/>
              </w:rPr>
            </w:pPr>
            <w:r>
              <w:rPr>
                <w:color w:val="232323"/>
                <w:sz w:val="22"/>
              </w:rPr>
              <w:t>The Parliamentarian should be generally familiar with Robert’s Rules of Order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(the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current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edition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typically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referred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to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as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Robert’s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Rules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of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Order, Newly Revised – RONR) and have attained the knowledge equivalent to that necessary for obtaining membership in the National Association of Parliamentarians.</w:t>
            </w:r>
            <w:r>
              <w:rPr>
                <w:color w:val="232323"/>
                <w:spacing w:val="-5"/>
                <w:sz w:val="22"/>
              </w:rPr>
              <w:t> </w:t>
            </w:r>
            <w:r>
              <w:rPr>
                <w:color w:val="232323"/>
                <w:sz w:val="22"/>
              </w:rPr>
              <w:t>As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is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reminded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in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the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Bylaws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(and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RONR),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the</w:t>
            </w:r>
            <w:r>
              <w:rPr>
                <w:color w:val="232323"/>
                <w:spacing w:val="-4"/>
                <w:sz w:val="22"/>
              </w:rPr>
              <w:t> </w:t>
            </w:r>
            <w:r>
              <w:rPr>
                <w:color w:val="232323"/>
                <w:sz w:val="22"/>
              </w:rPr>
              <w:t>primary responsibility is as a guide and reference in question of parliamentary </w:t>
            </w:r>
            <w:r>
              <w:rPr>
                <w:color w:val="232323"/>
                <w:spacing w:val="-2"/>
                <w:sz w:val="22"/>
              </w:rPr>
              <w:t>procedure.</w:t>
            </w: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line="276" w:lineRule="auto" w:before="0"/>
              <w:ind w:left="99" w:right="154"/>
              <w:rPr>
                <w:sz w:val="22"/>
              </w:rPr>
            </w:pPr>
            <w:r>
              <w:rPr>
                <w:color w:val="232323"/>
                <w:sz w:val="22"/>
              </w:rPr>
              <w:t>As time permits, and with consultation of the Faculty Senate Officers, the Parliamentarian may perform additional duties specifically in the advancement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of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knowledge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of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Parliamentary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Procedure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with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select</w:t>
            </w:r>
            <w:r>
              <w:rPr>
                <w:color w:val="232323"/>
                <w:spacing w:val="-6"/>
                <w:sz w:val="22"/>
              </w:rPr>
              <w:t> </w:t>
            </w:r>
            <w:r>
              <w:rPr>
                <w:color w:val="232323"/>
                <w:sz w:val="22"/>
              </w:rPr>
              <w:t>groups. Training on core motions and procedure could be provided, along with practice designed to facilitate understanding and efficacy of processes.</w:t>
            </w:r>
          </w:p>
        </w:tc>
      </w:tr>
    </w:tbl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9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Parliamentarian SOP</dc:title>
  <dcterms:created xsi:type="dcterms:W3CDTF">2025-11-20T20:27:14Z</dcterms:created>
  <dcterms:modified xsi:type="dcterms:W3CDTF">2025-11-20T20:27:14Z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m120 Google Docs Renderer</vt:lpwstr>
  </property>
</Properties>
</file>